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01" w:rsidRDefault="00483001" w:rsidP="00483001">
      <w:pPr>
        <w:pStyle w:val="docdata"/>
        <w:widowControl w:val="0"/>
        <w:tabs>
          <w:tab w:val="left" w:pos="-4860"/>
          <w:tab w:val="left" w:pos="708"/>
        </w:tabs>
        <w:spacing w:before="0" w:beforeAutospacing="0" w:after="0" w:afterAutospacing="0"/>
        <w:ind w:left="3960" w:right="-6"/>
        <w:jc w:val="center"/>
      </w:pPr>
      <w:bookmarkStart w:id="0" w:name="_GoBack"/>
      <w:bookmarkEnd w:id="0"/>
      <w:r>
        <w:rPr>
          <w:rFonts w:ascii="Times New Roman;Times New Roman" w:hAnsi="Times New Roman;Times New Roman"/>
          <w:color w:val="000000"/>
          <w:sz w:val="28"/>
          <w:szCs w:val="28"/>
        </w:rPr>
        <w:t>Приложение № 9</w:t>
      </w:r>
    </w:p>
    <w:p w:rsidR="00483001" w:rsidRDefault="00483001" w:rsidP="00483001">
      <w:pPr>
        <w:pStyle w:val="a4"/>
        <w:widowControl w:val="0"/>
        <w:tabs>
          <w:tab w:val="left" w:pos="-4860"/>
          <w:tab w:val="left" w:pos="708"/>
        </w:tabs>
        <w:spacing w:before="0" w:beforeAutospacing="0" w:after="0" w:afterAutospacing="0"/>
        <w:ind w:left="3960" w:right="-6"/>
        <w:jc w:val="center"/>
      </w:pPr>
      <w:r>
        <w:rPr>
          <w:rFonts w:ascii="Times New Roman;Times New Roman" w:hAnsi="Times New Roman;Times New Roman"/>
          <w:color w:val="000000"/>
        </w:rPr>
        <w:t xml:space="preserve">к Порядку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области, утвержденному постановлением избирательной комиссии Тверской области </w:t>
      </w:r>
      <w:r>
        <w:rPr>
          <w:rFonts w:ascii="Times New Roman;Times New Roman" w:hAnsi="Times New Roman;Times New Roman"/>
          <w:color w:val="000000"/>
        </w:rPr>
        <w:br/>
        <w:t> от 9 июня 2021 г. № 4/28-7</w:t>
      </w:r>
    </w:p>
    <w:p w:rsidR="00483001" w:rsidRDefault="00483001" w:rsidP="00483001">
      <w:pPr>
        <w:pStyle w:val="a4"/>
        <w:spacing w:before="240" w:beforeAutospacing="0" w:after="0" w:afterAutospacing="0"/>
        <w:jc w:val="center"/>
      </w:pPr>
      <w:r>
        <w:rPr>
          <w:rFonts w:ascii="Times New Roman;Times New Roman" w:hAnsi="Times New Roman;Times New Roman"/>
          <w:b/>
          <w:bCs/>
          <w:color w:val="000000"/>
          <w:sz w:val="28"/>
          <w:szCs w:val="28"/>
        </w:rPr>
        <w:t>Перечень</w:t>
      </w:r>
    </w:p>
    <w:p w:rsidR="00483001" w:rsidRDefault="00483001" w:rsidP="00483001">
      <w:pPr>
        <w:pStyle w:val="a4"/>
        <w:spacing w:before="0" w:beforeAutospacing="0" w:after="0" w:afterAutospacing="0"/>
        <w:jc w:val="center"/>
      </w:pPr>
      <w:r>
        <w:rPr>
          <w:rFonts w:ascii="Times New Roman;Times New Roman" w:hAnsi="Times New Roman;Times New Roman"/>
          <w:b/>
          <w:bCs/>
          <w:color w:val="000000"/>
          <w:sz w:val="28"/>
          <w:szCs w:val="28"/>
        </w:rPr>
        <w:t xml:space="preserve">первичных финансовых документов, </w:t>
      </w:r>
    </w:p>
    <w:p w:rsidR="00483001" w:rsidRDefault="00483001" w:rsidP="00483001">
      <w:pPr>
        <w:pStyle w:val="a4"/>
        <w:spacing w:before="0" w:beforeAutospacing="0" w:after="0" w:afterAutospacing="0"/>
        <w:jc w:val="center"/>
      </w:pPr>
      <w:r>
        <w:rPr>
          <w:rFonts w:ascii="Times New Roman;Times New Roman" w:hAnsi="Times New Roman;Times New Roman"/>
          <w:b/>
          <w:bCs/>
          <w:color w:val="000000"/>
          <w:sz w:val="28"/>
          <w:szCs w:val="28"/>
        </w:rPr>
        <w:t xml:space="preserve">прилагаемых к итоговому финансовому отчету </w:t>
      </w:r>
    </w:p>
    <w:p w:rsidR="00483001" w:rsidRDefault="00483001" w:rsidP="00483001">
      <w:pPr>
        <w:pStyle w:val="a4"/>
        <w:spacing w:before="0" w:beforeAutospacing="0" w:after="0" w:afterAutospacing="0"/>
        <w:jc w:val="center"/>
      </w:pPr>
      <w:r>
        <w:t> 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Выписки структурного подразделения ПАО Сбербанк, другой кредитной организации по специальному избирательному счету соответствующего избирательного фонда;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платежные документы (распоряжения) о перечислении (переводе) добровольных пожертвований граждан, юридических лиц;</w:t>
      </w:r>
    </w:p>
    <w:p w:rsidR="00483001" w:rsidRDefault="00483001" w:rsidP="00483001">
      <w:pPr>
        <w:pStyle w:val="a4"/>
        <w:widowControl w:val="0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платежные документы (распоряжения) на внесение собственных средств кандидата, о перечислении (переводе) собственных средств избирательного объединения, средств, выделенных кандидату выдвинувшим его избирательным объединением;</w:t>
      </w:r>
    </w:p>
    <w:p w:rsidR="00483001" w:rsidRDefault="00483001" w:rsidP="00483001">
      <w:pPr>
        <w:pStyle w:val="a4"/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платежные документы (распоряжения) о возвратах неиспользованных средств соответствующего избирательного фонда;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платежные документы (распоряжения) о перечислении (переводе) денежных средств соответствующего избирательного фонда за выполненные работы, оказанные услуги, поставленные товары;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договоры на выполнение работ (оказание услуг);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счета, счета-фактуры;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накладные, товарно-транспортные накладные на получение товаров;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акты о выполнении работ (оказании услуг);</w:t>
      </w:r>
    </w:p>
    <w:p w:rsidR="00483001" w:rsidRDefault="00483001" w:rsidP="00483001">
      <w:pPr>
        <w:pStyle w:val="a4"/>
        <w:tabs>
          <w:tab w:val="left" w:pos="708"/>
          <w:tab w:val="left" w:pos="993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расходные и приходные кассовые ордера;</w:t>
      </w:r>
    </w:p>
    <w:p w:rsidR="00483001" w:rsidRDefault="00483001" w:rsidP="00483001">
      <w:pPr>
        <w:pStyle w:val="a4"/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проездные документы;</w:t>
      </w:r>
    </w:p>
    <w:p w:rsidR="00483001" w:rsidRDefault="00483001" w:rsidP="00483001">
      <w:pPr>
        <w:pStyle w:val="a4"/>
        <w:tabs>
          <w:tab w:val="left" w:pos="708"/>
          <w:tab w:val="left" w:pos="1134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контрольно-кассовые чеки, товарные чеки;</w:t>
      </w:r>
    </w:p>
    <w:p w:rsidR="00483001" w:rsidRDefault="00483001" w:rsidP="00483001">
      <w:pPr>
        <w:pStyle w:val="a4"/>
        <w:tabs>
          <w:tab w:val="left" w:pos="708"/>
          <w:tab w:val="left" w:pos="1134"/>
        </w:tabs>
        <w:spacing w:before="0" w:beforeAutospacing="0" w:after="0" w:afterAutospacing="0" w:line="336" w:lineRule="auto"/>
        <w:ind w:firstLine="709"/>
        <w:jc w:val="both"/>
      </w:pPr>
      <w:r>
        <w:rPr>
          <w:rFonts w:ascii="Times New Roman;Times New Roman" w:hAnsi="Times New Roman;Times New Roman"/>
          <w:color w:val="000000"/>
          <w:sz w:val="28"/>
          <w:szCs w:val="28"/>
        </w:rPr>
        <w:t>кассовая книга (представляется, если проводились расчеты наличными денежными средствами, снятыми со специального избирательного счета).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3B50B2"/>
    <w:rsid w:val="00483001"/>
    <w:rsid w:val="00677F23"/>
    <w:rsid w:val="0074439B"/>
    <w:rsid w:val="00A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24612,bqiaagaaeyqcaaagiaiaaamdwqaabrfzaaaaaaaaaaaaaaaaaaaaaaaaaaaaaaaaaaaaaaaaaaaaaaaaaaaaaaaaaaaaaaaaaaaaaaaaaaaaaaaaaaaaaaaaaaaaaaaaaaaaaaaaaaaaaaaaaaaaaaaaaaaaaaaaaaaaaaaaaaaaaaaaaaaaaaaaaaaaaaaaaaaaaaaaaaaaaaaaaaaaaaaaaaaaaaaaaaaaaaa"/>
    <w:basedOn w:val="a"/>
    <w:rsid w:val="004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2025-08-09T11:19:00Z</dcterms:created>
  <dcterms:modified xsi:type="dcterms:W3CDTF">2025-08-09T11:19:00Z</dcterms:modified>
</cp:coreProperties>
</file>